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42" w:rsidRPr="00A832F7" w:rsidRDefault="00974042" w:rsidP="00A832F7">
      <w:pPr>
        <w:spacing w:line="240" w:lineRule="exact"/>
        <w:rPr>
          <w:rFonts w:ascii="微软雅黑" w:eastAsia="微软雅黑" w:hAnsi="微软雅黑" w:cs="Arial"/>
          <w:kern w:val="0"/>
          <w:sz w:val="22"/>
          <w:szCs w:val="22"/>
        </w:rPr>
      </w:pPr>
    </w:p>
    <w:p w:rsidR="00974042" w:rsidRPr="00A832F7" w:rsidRDefault="00A832F7" w:rsidP="006F6D18">
      <w:pPr>
        <w:spacing w:line="600" w:lineRule="exact"/>
        <w:jc w:val="center"/>
        <w:rPr>
          <w:rFonts w:ascii="微软雅黑" w:eastAsia="微软雅黑" w:hAnsi="微软雅黑" w:cs="Arial"/>
          <w:b/>
          <w:bCs/>
          <w:color w:val="FF0000"/>
          <w:sz w:val="40"/>
          <w:szCs w:val="40"/>
        </w:rPr>
      </w:pPr>
      <w:bookmarkStart w:id="0" w:name="Title"/>
      <w:r w:rsidRPr="00A832F7">
        <w:rPr>
          <w:rFonts w:ascii="微软雅黑" w:eastAsia="微软雅黑" w:hAnsi="微软雅黑" w:cs="Arial"/>
          <w:b/>
          <w:bCs/>
          <w:color w:val="FF0000"/>
          <w:sz w:val="40"/>
          <w:szCs w:val="40"/>
        </w:rPr>
        <w:t>中华人民共和国资源税法</w:t>
      </w:r>
      <w:bookmarkEnd w:id="0"/>
    </w:p>
    <w:p w:rsidR="00974042" w:rsidRDefault="00974042" w:rsidP="006F6D18">
      <w:pPr>
        <w:spacing w:line="240" w:lineRule="exact"/>
        <w:rPr>
          <w:rFonts w:ascii="微软雅黑" w:eastAsia="微软雅黑" w:hAnsi="微软雅黑" w:cs="Arial" w:hint="eastAsia"/>
          <w:sz w:val="22"/>
          <w:szCs w:val="22"/>
        </w:rPr>
      </w:pPr>
    </w:p>
    <w:p w:rsidR="006F6D18" w:rsidRDefault="006F6D18" w:rsidP="006F6D18">
      <w:pPr>
        <w:spacing w:line="240" w:lineRule="exact"/>
        <w:jc w:val="center"/>
        <w:rPr>
          <w:rFonts w:ascii="微软雅黑" w:eastAsia="微软雅黑" w:hAnsi="微软雅黑" w:cs="Arial" w:hint="eastAsia"/>
          <w:sz w:val="22"/>
          <w:szCs w:val="22"/>
        </w:rPr>
      </w:pPr>
      <w:r>
        <w:rPr>
          <w:rFonts w:ascii="微软雅黑" w:eastAsia="微软雅黑" w:hAnsi="微软雅黑" w:cs="Arial" w:hint="eastAsia"/>
          <w:sz w:val="22"/>
          <w:szCs w:val="22"/>
        </w:rPr>
        <w:t>2020-09-01</w:t>
      </w:r>
    </w:p>
    <w:p w:rsidR="006F6D18" w:rsidRPr="00A832F7" w:rsidRDefault="006F6D18" w:rsidP="006F6D18">
      <w:pPr>
        <w:spacing w:line="240" w:lineRule="exact"/>
        <w:rPr>
          <w:rFonts w:ascii="微软雅黑" w:eastAsia="微软雅黑" w:hAnsi="微软雅黑" w:cs="Arial"/>
          <w:sz w:val="22"/>
          <w:szCs w:val="22"/>
        </w:rPr>
      </w:pPr>
    </w:p>
    <w:p w:rsidR="00974042" w:rsidRPr="00A832F7" w:rsidRDefault="009F1A2E" w:rsidP="006F6D18">
      <w:pPr>
        <w:spacing w:line="240" w:lineRule="exact"/>
        <w:ind w:leftChars="200" w:left="632" w:rightChars="200" w:right="632"/>
        <w:jc w:val="center"/>
        <w:rPr>
          <w:rFonts w:ascii="微软雅黑" w:eastAsia="微软雅黑" w:hAnsi="微软雅黑"/>
          <w:sz w:val="22"/>
          <w:szCs w:val="22"/>
        </w:rPr>
      </w:pPr>
      <w:r w:rsidRPr="00A832F7">
        <w:rPr>
          <w:rFonts w:ascii="微软雅黑" w:eastAsia="微软雅黑" w:hAnsi="微软雅黑" w:cs="Arial" w:hint="eastAsia"/>
          <w:sz w:val="22"/>
          <w:szCs w:val="22"/>
        </w:rPr>
        <w:t>（</w:t>
      </w:r>
      <w:bookmarkStart w:id="1" w:name="TitleDescription"/>
      <w:r w:rsidRPr="00A832F7">
        <w:rPr>
          <w:rFonts w:ascii="微软雅黑" w:eastAsia="微软雅黑" w:hAnsi="微软雅黑"/>
          <w:sz w:val="22"/>
          <w:szCs w:val="22"/>
        </w:rPr>
        <w:t>2019</w:t>
      </w:r>
      <w:r w:rsidRPr="00A832F7">
        <w:rPr>
          <w:rFonts w:ascii="微软雅黑" w:eastAsia="微软雅黑" w:hAnsi="微软雅黑" w:hint="eastAsia"/>
          <w:sz w:val="22"/>
          <w:szCs w:val="22"/>
        </w:rPr>
        <w:t>年</w:t>
      </w:r>
      <w:r w:rsidRPr="00A832F7">
        <w:rPr>
          <w:rFonts w:ascii="微软雅黑" w:eastAsia="微软雅黑" w:hAnsi="微软雅黑"/>
          <w:sz w:val="22"/>
          <w:szCs w:val="22"/>
        </w:rPr>
        <w:t>8</w:t>
      </w:r>
      <w:r w:rsidRPr="00A832F7">
        <w:rPr>
          <w:rFonts w:ascii="微软雅黑" w:eastAsia="微软雅黑" w:hAnsi="微软雅黑" w:hint="eastAsia"/>
          <w:sz w:val="22"/>
          <w:szCs w:val="22"/>
        </w:rPr>
        <w:t>月</w:t>
      </w:r>
      <w:r w:rsidRPr="00A832F7">
        <w:rPr>
          <w:rFonts w:ascii="微软雅黑" w:eastAsia="微软雅黑" w:hAnsi="微软雅黑"/>
          <w:sz w:val="22"/>
          <w:szCs w:val="22"/>
        </w:rPr>
        <w:t>26</w:t>
      </w:r>
      <w:r w:rsidRPr="00A832F7">
        <w:rPr>
          <w:rFonts w:ascii="微软雅黑" w:eastAsia="微软雅黑" w:hAnsi="微软雅黑" w:hint="eastAsia"/>
          <w:sz w:val="22"/>
          <w:szCs w:val="22"/>
        </w:rPr>
        <w:t>日第十三届全国人民代表大会常务委员会第十二次会议通过</w:t>
      </w:r>
      <w:bookmarkEnd w:id="1"/>
      <w:r w:rsidRPr="00A832F7">
        <w:rPr>
          <w:rFonts w:ascii="微软雅黑" w:eastAsia="微软雅黑" w:hAnsi="微软雅黑" w:cs="Arial" w:hint="eastAsia"/>
          <w:sz w:val="22"/>
          <w:szCs w:val="22"/>
        </w:rPr>
        <w:t>）</w:t>
      </w:r>
    </w:p>
    <w:p w:rsidR="00974042" w:rsidRPr="006F6D18" w:rsidRDefault="009F1A2E" w:rsidP="006F6D18">
      <w:pPr>
        <w:spacing w:line="300" w:lineRule="exact"/>
        <w:ind w:firstLineChars="200" w:firstLine="432"/>
        <w:rPr>
          <w:rFonts w:ascii="微软雅黑" w:eastAsia="微软雅黑" w:hAnsi="微软雅黑"/>
          <w:sz w:val="24"/>
        </w:rPr>
      </w:pPr>
      <w:r w:rsidRPr="00A832F7">
        <w:rPr>
          <w:rFonts w:ascii="微软雅黑" w:eastAsia="微软雅黑" w:hAnsi="微软雅黑" w:cs="宋体"/>
          <w:sz w:val="22"/>
          <w:szCs w:val="22"/>
        </w:rPr>
        <w:t xml:space="preserve"> </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第一条</w:t>
      </w:r>
      <w:r w:rsidRPr="006F6D18">
        <w:rPr>
          <w:rFonts w:ascii="微软雅黑" w:eastAsia="微软雅黑" w:hAnsi="微软雅黑" w:cs="仿宋_GB2312"/>
          <w:sz w:val="24"/>
        </w:rPr>
        <w:t xml:space="preserve">  在中华人民共和国领域和中华人民共和国管辖的其他海域开发应税资源的单位和个人，为资源税的纳税人，应当依照本法规定缴纳资源税。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应税资源的具体范围，由本法所附《资源税税目税率表》（以下称《税目税率表》）确定。</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第二条</w:t>
      </w:r>
      <w:r w:rsidRPr="006F6D18">
        <w:rPr>
          <w:rFonts w:ascii="微软雅黑" w:eastAsia="微软雅黑" w:hAnsi="微软雅黑" w:cs="仿宋_GB2312"/>
          <w:sz w:val="24"/>
        </w:rPr>
        <w:t xml:space="preserve">  资源税的税目、税率，依照《税目税率表》执行。</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税目税率表》中规定实行幅度税率的，其具体适用税率由省、自治区、直辖市人民政府统筹考虑该应税资源的品位、开采条件以及对生态环境的影响等情况，在《税目税率表》规定的税率幅度内提出，报同级人民代表大会常务委员会决定，并报全国人民代表大会常务委员会和国务院备案。《税目税率表》中规定征税对象为原矿或者选矿的，应当分别确定具体适用税率。</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第三条</w:t>
      </w:r>
      <w:r w:rsidRPr="00944875">
        <w:rPr>
          <w:rFonts w:ascii="微软雅黑" w:eastAsia="微软雅黑" w:hAnsi="微软雅黑" w:cs="仿宋_GB2312"/>
          <w:b/>
          <w:sz w:val="24"/>
        </w:rPr>
        <w:t xml:space="preserve"> </w:t>
      </w:r>
      <w:r w:rsidRPr="006F6D18">
        <w:rPr>
          <w:rFonts w:ascii="微软雅黑" w:eastAsia="微软雅黑" w:hAnsi="微软雅黑" w:cs="仿宋_GB2312"/>
          <w:sz w:val="24"/>
        </w:rPr>
        <w:t xml:space="preserve"> 资源税按照《税目税率表》实行从价计征或者从量计征。</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《税目税率表》中规定可以选择实行从价计征或者从量计征的，具体计征方式由省、自治区、直辖市人民政府提出，报同级人民代表大会常务委员会决定，并报全国人民代表大会常务委员会和国务院备案。</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实行从价计征的，应纳税额按照应税资源产品（以下称应税产品）的销售额乘以具体适用税率计算。实行从量计征的，应纳税额按照应税产品的销售数量乘以具体适用税率计算。</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应税产品为矿产品的，包括原矿和选矿产品。</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第四条</w:t>
      </w:r>
      <w:r w:rsidRPr="006F6D18">
        <w:rPr>
          <w:rFonts w:ascii="微软雅黑" w:eastAsia="微软雅黑" w:hAnsi="微软雅黑" w:cs="仿宋_GB2312"/>
          <w:sz w:val="24"/>
        </w:rPr>
        <w:t xml:space="preserve">  纳税人开采或者生产不同税目应税产品的，应当分别核算不同税目应税产品的销售额或者销售数量；未分别核算或者不能准确提供不同税目应税产品的销售额或者销售数量的，从高适用税率。</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第五条</w:t>
      </w:r>
      <w:r w:rsidRPr="006F6D18">
        <w:rPr>
          <w:rFonts w:ascii="微软雅黑" w:eastAsia="微软雅黑" w:hAnsi="微软雅黑" w:cs="仿宋_GB2312"/>
          <w:sz w:val="24"/>
        </w:rPr>
        <w:t xml:space="preserve">  纳税人开采或者生产应税产品自用的，应当依照本法规定缴纳资源税；但是，自用于连续生产应税产品的，不缴纳资源税。</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第六条</w:t>
      </w:r>
      <w:r w:rsidRPr="006F6D18">
        <w:rPr>
          <w:rFonts w:ascii="微软雅黑" w:eastAsia="微软雅黑" w:hAnsi="微软雅黑" w:cs="仿宋_GB2312"/>
          <w:sz w:val="24"/>
        </w:rPr>
        <w:t xml:space="preserve">  有下列情形之一的，免征资源税：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（一）开采原油以及在油田范围内运输原油过程中用于加热的原油、天然气；</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（二）煤炭开采企业因安全生产需要抽采的煤成（层）气。</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有下列情形之一的，减征资源税：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（一）从低丰度油气田开采的原油、天然气，减征百分之二十资源税；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（二）高含硫天然气、三次采油和从深水油气田开采的原油、天然气，减征百分之三十资源税；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（三）稠油、高凝油减征百分之四十资源税；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（四）从衰竭期矿山开采的矿产品，减征百分之三十资源税。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根据国民经济和社会发展需要，国务院对有利于促进资源节约集约利用、保护环境等情形可以规定免征或者减征资源税，报全国人民代表大会常务委员会备案。</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第七条</w:t>
      </w:r>
      <w:r w:rsidRPr="006F6D18">
        <w:rPr>
          <w:rFonts w:ascii="微软雅黑" w:eastAsia="微软雅黑" w:hAnsi="微软雅黑" w:cs="仿宋_GB2312"/>
          <w:sz w:val="24"/>
        </w:rPr>
        <w:t xml:space="preserve">  有下列情形之一的，省、自治区、直辖市可以决定免征或者减征资源税：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（一）纳税人开采或者生产应税产品过程中，因意外事故或者自然灾害等原因遭受重大损失；</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（二）纳税人开采共伴生矿、低品位矿、尾矿。</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前款规定的免征或者减征资源税的具体办法，由省、自治区、直辖市人民政府提出，报同级人民代表大会常务委员会决定，并报全国人民代表大会常务委员会和国务院备案。</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第八条</w:t>
      </w:r>
      <w:r w:rsidRPr="006F6D18">
        <w:rPr>
          <w:rFonts w:ascii="微软雅黑" w:eastAsia="微软雅黑" w:hAnsi="微软雅黑" w:cs="仿宋_GB2312"/>
          <w:sz w:val="24"/>
        </w:rPr>
        <w:t xml:space="preserve">  纳税人的免税、减税项目，应当单独核算销售额或者销售数量；未单独核算或者不能准确提供销售额或者销售数量的，不予免税或者减税。</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第九条</w:t>
      </w:r>
      <w:r w:rsidRPr="006F6D18">
        <w:rPr>
          <w:rFonts w:ascii="微软雅黑" w:eastAsia="微软雅黑" w:hAnsi="微软雅黑" w:cs="仿宋_GB2312"/>
          <w:sz w:val="24"/>
        </w:rPr>
        <w:t xml:space="preserve">  资源税由税务机关依照本法和《中华人民共和国税收征收管理法》的规定征收管理。</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税务机关与自然资源等相关部门应当建立工作配合机制，加强资源税征收管理。</w:t>
      </w:r>
    </w:p>
    <w:p w:rsidR="00974042" w:rsidRPr="006F6D18" w:rsidRDefault="009F1A2E" w:rsidP="006F6D18">
      <w:pPr>
        <w:spacing w:line="300" w:lineRule="exact"/>
        <w:ind w:firstLineChars="200" w:firstLine="472"/>
        <w:rPr>
          <w:rFonts w:ascii="微软雅黑" w:eastAsia="微软雅黑" w:hAnsi="微软雅黑"/>
          <w:sz w:val="24"/>
        </w:rPr>
      </w:pPr>
      <w:r w:rsidRPr="00944875">
        <w:rPr>
          <w:rFonts w:ascii="微软雅黑" w:eastAsia="微软雅黑" w:hAnsi="微软雅黑" w:cs="黑体"/>
          <w:b/>
          <w:sz w:val="24"/>
        </w:rPr>
        <w:t>第十条</w:t>
      </w:r>
      <w:r w:rsidRPr="006F6D18">
        <w:rPr>
          <w:rFonts w:ascii="微软雅黑" w:eastAsia="微软雅黑" w:hAnsi="微软雅黑" w:cs="仿宋_GB2312"/>
          <w:sz w:val="24"/>
        </w:rPr>
        <w:t xml:space="preserve">  纳税人销售应税产品，纳税义务发生时间为收讫销售款或者取得索取销售款凭据的当日；自用应税产品的，纳税义务发生时间为移送应税产品的当日。</w:t>
      </w:r>
    </w:p>
    <w:p w:rsidR="00974042" w:rsidRDefault="009F1A2E" w:rsidP="006F6D18">
      <w:pPr>
        <w:spacing w:line="300" w:lineRule="exact"/>
        <w:ind w:firstLineChars="200" w:firstLine="472"/>
        <w:rPr>
          <w:rFonts w:ascii="微软雅黑" w:eastAsia="微软雅黑" w:hAnsi="微软雅黑" w:cs="仿宋_GB2312" w:hint="eastAsia"/>
          <w:sz w:val="24"/>
        </w:rPr>
      </w:pPr>
      <w:r w:rsidRPr="00944875">
        <w:rPr>
          <w:rFonts w:ascii="微软雅黑" w:eastAsia="微软雅黑" w:hAnsi="微软雅黑" w:cs="黑体"/>
          <w:b/>
          <w:sz w:val="24"/>
        </w:rPr>
        <w:t>第十一条</w:t>
      </w:r>
      <w:r w:rsidRPr="006F6D18">
        <w:rPr>
          <w:rFonts w:ascii="微软雅黑" w:eastAsia="微软雅黑" w:hAnsi="微软雅黑" w:cs="仿宋_GB2312"/>
          <w:sz w:val="24"/>
        </w:rPr>
        <w:t xml:space="preserve">  纳税人应当向应税产品开采地或者生产地的税务机关申报缴纳资源税。</w:t>
      </w:r>
    </w:p>
    <w:p w:rsidR="006F6D18" w:rsidRPr="006F6D18" w:rsidRDefault="006F6D18" w:rsidP="006F6D18">
      <w:pPr>
        <w:spacing w:line="300" w:lineRule="exact"/>
        <w:ind w:firstLineChars="200" w:firstLine="472"/>
        <w:rPr>
          <w:rFonts w:ascii="微软雅黑" w:eastAsia="微软雅黑" w:hAnsi="微软雅黑"/>
          <w:sz w:val="24"/>
        </w:rPr>
      </w:pPr>
    </w:p>
    <w:p w:rsidR="00974042" w:rsidRPr="006F6D18" w:rsidRDefault="009F1A2E" w:rsidP="006F6D18">
      <w:pPr>
        <w:spacing w:line="300" w:lineRule="exact"/>
        <w:ind w:firstLineChars="200" w:firstLine="472"/>
        <w:rPr>
          <w:rFonts w:ascii="微软雅黑" w:eastAsia="微软雅黑" w:hAnsi="微软雅黑"/>
          <w:sz w:val="24"/>
        </w:rPr>
      </w:pPr>
      <w:r w:rsidRPr="004D05B2">
        <w:rPr>
          <w:rFonts w:ascii="微软雅黑" w:eastAsia="微软雅黑" w:hAnsi="微软雅黑" w:cs="黑体"/>
          <w:b/>
          <w:sz w:val="24"/>
        </w:rPr>
        <w:lastRenderedPageBreak/>
        <w:t>第十二条</w:t>
      </w:r>
      <w:r w:rsidRPr="006F6D18">
        <w:rPr>
          <w:rFonts w:ascii="微软雅黑" w:eastAsia="微软雅黑" w:hAnsi="微软雅黑" w:cs="仿宋_GB2312"/>
          <w:sz w:val="24"/>
        </w:rPr>
        <w:t xml:space="preserve">  资源税按月或者按季申报缴纳；不能按固定期限计算缴纳的，可以按次申报缴纳。</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纳税人按月或者按季申报缴纳的，应当自月度或者季度终了之日起十五日内，向税务机关办理纳税申报并缴纳税款；按次申报缴纳的，应当自纳税义务发生之日起十五日内，向税务机关办理纳税申报并缴纳税款。</w:t>
      </w:r>
    </w:p>
    <w:p w:rsidR="00974042" w:rsidRPr="006F6D18" w:rsidRDefault="009F1A2E" w:rsidP="006F6D18">
      <w:pPr>
        <w:spacing w:line="300" w:lineRule="exact"/>
        <w:ind w:firstLineChars="200" w:firstLine="472"/>
        <w:rPr>
          <w:rFonts w:ascii="微软雅黑" w:eastAsia="微软雅黑" w:hAnsi="微软雅黑"/>
          <w:sz w:val="24"/>
        </w:rPr>
      </w:pPr>
      <w:r w:rsidRPr="004D05B2">
        <w:rPr>
          <w:rFonts w:ascii="微软雅黑" w:eastAsia="微软雅黑" w:hAnsi="微软雅黑" w:cs="黑体"/>
          <w:b/>
          <w:sz w:val="24"/>
        </w:rPr>
        <w:t>第十三条</w:t>
      </w:r>
      <w:r w:rsidRPr="006F6D18">
        <w:rPr>
          <w:rFonts w:ascii="微软雅黑" w:eastAsia="微软雅黑" w:hAnsi="微软雅黑" w:cs="仿宋_GB2312"/>
          <w:sz w:val="24"/>
        </w:rPr>
        <w:t xml:space="preserve">  纳税人、税务机关及其工作人员违反本法规定的，依照《中华人民共和国税收征收管理法》和有关法律法规的规定追究法律责任。</w:t>
      </w:r>
    </w:p>
    <w:p w:rsidR="00974042" w:rsidRPr="006F6D18" w:rsidRDefault="009F1A2E" w:rsidP="006F6D18">
      <w:pPr>
        <w:spacing w:line="300" w:lineRule="exact"/>
        <w:ind w:firstLineChars="200" w:firstLine="472"/>
        <w:rPr>
          <w:rFonts w:ascii="微软雅黑" w:eastAsia="微软雅黑" w:hAnsi="微软雅黑"/>
          <w:sz w:val="24"/>
        </w:rPr>
      </w:pPr>
      <w:r w:rsidRPr="004D05B2">
        <w:rPr>
          <w:rFonts w:ascii="微软雅黑" w:eastAsia="微软雅黑" w:hAnsi="微软雅黑" w:cs="黑体"/>
          <w:b/>
          <w:sz w:val="24"/>
        </w:rPr>
        <w:t>第十四条</w:t>
      </w:r>
      <w:r w:rsidRPr="006F6D18">
        <w:rPr>
          <w:rFonts w:ascii="微软雅黑" w:eastAsia="微软雅黑" w:hAnsi="微软雅黑" w:cs="仿宋_GB2312"/>
          <w:sz w:val="24"/>
        </w:rPr>
        <w:t xml:space="preserve">  国务院根据国民经济和社会发展需要，依照本法的原则，对取用地表水或者地下水的单位和个人试点征收水资源税。征收水资源税的，停止征收水资源费。</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水资源税根据当地水资源状况、取用水类型和经济发展等情况实行差别税率。</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水资源税试点实施办法由国务院规定，报全国人民代表大会常务委员会备案。</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国务院自本法施行之日起五年内，就征收水资源税试点情况向全国人民代表大会常务委员会报告，并及时提出修改法律的建议。</w:t>
      </w:r>
    </w:p>
    <w:p w:rsidR="00974042" w:rsidRPr="006F6D18" w:rsidRDefault="009F1A2E" w:rsidP="006F6D18">
      <w:pPr>
        <w:spacing w:line="300" w:lineRule="exact"/>
        <w:ind w:firstLineChars="200" w:firstLine="472"/>
        <w:rPr>
          <w:rFonts w:ascii="微软雅黑" w:eastAsia="微软雅黑" w:hAnsi="微软雅黑"/>
          <w:sz w:val="24"/>
        </w:rPr>
      </w:pPr>
      <w:r w:rsidRPr="004D05B2">
        <w:rPr>
          <w:rFonts w:ascii="微软雅黑" w:eastAsia="微软雅黑" w:hAnsi="微软雅黑" w:cs="黑体"/>
          <w:b/>
          <w:sz w:val="24"/>
        </w:rPr>
        <w:t>第十五条</w:t>
      </w:r>
      <w:r w:rsidRPr="006F6D18">
        <w:rPr>
          <w:rFonts w:ascii="微软雅黑" w:eastAsia="微软雅黑" w:hAnsi="微软雅黑" w:cs="仿宋_GB2312"/>
          <w:sz w:val="24"/>
        </w:rPr>
        <w:t xml:space="preserve">  中外合作开采陆上、海上石油资源的企业依法缴纳资源税。</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sz w:val="24"/>
        </w:rPr>
        <w:t>2011</w:t>
      </w:r>
      <w:r w:rsidRPr="006F6D18">
        <w:rPr>
          <w:rFonts w:ascii="微软雅黑" w:eastAsia="微软雅黑" w:hAnsi="微软雅黑" w:cs="仿宋_GB2312"/>
          <w:sz w:val="24"/>
        </w:rPr>
        <w:t>年</w:t>
      </w:r>
      <w:r w:rsidRPr="006F6D18">
        <w:rPr>
          <w:rFonts w:ascii="微软雅黑" w:eastAsia="微软雅黑" w:hAnsi="微软雅黑"/>
          <w:sz w:val="24"/>
        </w:rPr>
        <w:t>11</w:t>
      </w:r>
      <w:r w:rsidRPr="006F6D18">
        <w:rPr>
          <w:rFonts w:ascii="微软雅黑" w:eastAsia="微软雅黑" w:hAnsi="微软雅黑" w:cs="仿宋_GB2312"/>
          <w:sz w:val="24"/>
        </w:rPr>
        <w:t>月</w:t>
      </w:r>
      <w:r w:rsidRPr="006F6D18">
        <w:rPr>
          <w:rFonts w:ascii="微软雅黑" w:eastAsia="微软雅黑" w:hAnsi="微软雅黑"/>
          <w:sz w:val="24"/>
        </w:rPr>
        <w:t>1</w:t>
      </w:r>
      <w:r w:rsidRPr="006F6D18">
        <w:rPr>
          <w:rFonts w:ascii="微软雅黑" w:eastAsia="微软雅黑" w:hAnsi="微软雅黑" w:cs="仿宋_GB2312"/>
          <w:sz w:val="24"/>
        </w:rPr>
        <w:t>日前已依法订立中外合作开采陆上、海上石油资源合同的，在该合同有效期内，继续依照国家有关规定缴纳矿区使用费，不缴纳资源税；合同期满后，依法缴纳资源税。</w:t>
      </w:r>
    </w:p>
    <w:p w:rsidR="00974042" w:rsidRPr="006F6D18" w:rsidRDefault="009F1A2E" w:rsidP="006F6D18">
      <w:pPr>
        <w:spacing w:line="300" w:lineRule="exact"/>
        <w:ind w:firstLineChars="200" w:firstLine="472"/>
        <w:rPr>
          <w:rFonts w:ascii="微软雅黑" w:eastAsia="微软雅黑" w:hAnsi="微软雅黑"/>
          <w:sz w:val="24"/>
        </w:rPr>
      </w:pPr>
      <w:r w:rsidRPr="004D05B2">
        <w:rPr>
          <w:rFonts w:ascii="微软雅黑" w:eastAsia="微软雅黑" w:hAnsi="微软雅黑" w:cs="黑体"/>
          <w:b/>
          <w:sz w:val="24"/>
        </w:rPr>
        <w:t>第十六条</w:t>
      </w:r>
      <w:r w:rsidRPr="006F6D18">
        <w:rPr>
          <w:rFonts w:ascii="微软雅黑" w:eastAsia="微软雅黑" w:hAnsi="微软雅黑" w:cs="仿宋_GB2312"/>
          <w:sz w:val="24"/>
        </w:rPr>
        <w:t xml:space="preserve">  本法下列用语的含义是：</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一）低丰度油气田，包括陆上低丰度油田、陆上低丰度气田、海上低丰度油田、海上低丰度气田。陆上低丰度油田是指每平方公里原油可开采储量丰度低于二十五万立方米的油田；陆上低丰度气田是指每平方公里天然气可开采储量丰度低于二亿五千万立方米的气田；海上低丰度油田是指每平方公里原油可开采储量丰度低于六十万立方米的油田；海上低丰度气田是指每平方公里天然气可开采储量丰度低于六亿立方米的气田。</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（二）高含硫天然气，是指硫化氢含量在每立方米三十克以上的天然气。</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（三）三次采油，是指二次采油后继续以聚合物驱、复合驱、泡沫驱、气水交替驱、二氧化碳驱、微生物驱等方式进行采油。</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（四）深水油气田，是指水深超过三百米的油气田。</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（五）稠油，是指地层原油粘度大于或等于每秒五十毫帕或原油密度大于或等于每立方厘米零点九二克的原油。</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（六）高凝油，是指凝固点高于四十摄氏度的原油。</w:t>
      </w:r>
    </w:p>
    <w:p w:rsidR="00974042" w:rsidRPr="006F6D18" w:rsidRDefault="009F1A2E" w:rsidP="006F6D18">
      <w:pPr>
        <w:spacing w:line="300" w:lineRule="exact"/>
        <w:ind w:firstLineChars="200" w:firstLine="472"/>
        <w:rPr>
          <w:rFonts w:ascii="微软雅黑" w:eastAsia="微软雅黑" w:hAnsi="微软雅黑"/>
          <w:sz w:val="24"/>
        </w:rPr>
      </w:pPr>
      <w:r w:rsidRPr="006F6D18">
        <w:rPr>
          <w:rFonts w:ascii="微软雅黑" w:eastAsia="微软雅黑" w:hAnsi="微软雅黑" w:cs="仿宋_GB2312"/>
          <w:sz w:val="24"/>
        </w:rPr>
        <w:t>（七）衰竭期矿山，是指设计开采年限超过十五年，且剩余可开采储量下降到原设计可开采储量的百分之二十以下或者剩余开采年限不超过五年的矿山。衰竭期矿山以开采企业下属的单个矿山为单位确定。</w:t>
      </w:r>
    </w:p>
    <w:p w:rsidR="00974042" w:rsidRDefault="009F1A2E" w:rsidP="006F6D18">
      <w:pPr>
        <w:spacing w:line="300" w:lineRule="exact"/>
        <w:ind w:firstLineChars="200" w:firstLine="472"/>
        <w:rPr>
          <w:rFonts w:ascii="微软雅黑" w:eastAsia="微软雅黑" w:hAnsi="微软雅黑" w:cs="仿宋_GB2312" w:hint="eastAsia"/>
          <w:sz w:val="24"/>
        </w:rPr>
      </w:pPr>
      <w:r w:rsidRPr="004D05B2">
        <w:rPr>
          <w:rFonts w:ascii="微软雅黑" w:eastAsia="微软雅黑" w:hAnsi="微软雅黑" w:cs="黑体"/>
          <w:b/>
          <w:sz w:val="24"/>
        </w:rPr>
        <w:t>第十七条</w:t>
      </w:r>
      <w:r w:rsidRPr="006F6D18">
        <w:rPr>
          <w:rFonts w:ascii="微软雅黑" w:eastAsia="微软雅黑" w:hAnsi="微软雅黑" w:cs="仿宋_GB2312"/>
          <w:sz w:val="24"/>
        </w:rPr>
        <w:t xml:space="preserve">  本法自</w:t>
      </w:r>
      <w:r w:rsidRPr="006F6D18">
        <w:rPr>
          <w:rFonts w:ascii="微软雅黑" w:eastAsia="微软雅黑" w:hAnsi="微软雅黑"/>
          <w:sz w:val="24"/>
        </w:rPr>
        <w:t>2020</w:t>
      </w:r>
      <w:r w:rsidRPr="006F6D18">
        <w:rPr>
          <w:rFonts w:ascii="微软雅黑" w:eastAsia="微软雅黑" w:hAnsi="微软雅黑" w:cs="仿宋_GB2312"/>
          <w:sz w:val="24"/>
        </w:rPr>
        <w:t>年</w:t>
      </w:r>
      <w:r w:rsidRPr="006F6D18">
        <w:rPr>
          <w:rFonts w:ascii="微软雅黑" w:eastAsia="微软雅黑" w:hAnsi="微软雅黑"/>
          <w:sz w:val="24"/>
        </w:rPr>
        <w:t>9</w:t>
      </w:r>
      <w:r w:rsidRPr="006F6D18">
        <w:rPr>
          <w:rFonts w:ascii="微软雅黑" w:eastAsia="微软雅黑" w:hAnsi="微软雅黑" w:cs="仿宋_GB2312"/>
          <w:sz w:val="24"/>
        </w:rPr>
        <w:t>月</w:t>
      </w:r>
      <w:r w:rsidRPr="006F6D18">
        <w:rPr>
          <w:rFonts w:ascii="微软雅黑" w:eastAsia="微软雅黑" w:hAnsi="微软雅黑"/>
          <w:sz w:val="24"/>
        </w:rPr>
        <w:t>1</w:t>
      </w:r>
      <w:r w:rsidRPr="006F6D18">
        <w:rPr>
          <w:rFonts w:ascii="微软雅黑" w:eastAsia="微软雅黑" w:hAnsi="微软雅黑" w:cs="仿宋_GB2312"/>
          <w:sz w:val="24"/>
        </w:rPr>
        <w:t>日起施行。</w:t>
      </w:r>
      <w:r w:rsidRPr="006F6D18">
        <w:rPr>
          <w:rFonts w:ascii="微软雅黑" w:eastAsia="微软雅黑" w:hAnsi="微软雅黑"/>
          <w:sz w:val="24"/>
        </w:rPr>
        <w:t>1993</w:t>
      </w:r>
      <w:r w:rsidRPr="006F6D18">
        <w:rPr>
          <w:rFonts w:ascii="微软雅黑" w:eastAsia="微软雅黑" w:hAnsi="微软雅黑" w:cs="仿宋_GB2312"/>
          <w:sz w:val="24"/>
        </w:rPr>
        <w:t>年</w:t>
      </w:r>
      <w:r w:rsidRPr="006F6D18">
        <w:rPr>
          <w:rFonts w:ascii="微软雅黑" w:eastAsia="微软雅黑" w:hAnsi="微软雅黑"/>
          <w:sz w:val="24"/>
        </w:rPr>
        <w:t>12</w:t>
      </w:r>
      <w:r w:rsidRPr="006F6D18">
        <w:rPr>
          <w:rFonts w:ascii="微软雅黑" w:eastAsia="微软雅黑" w:hAnsi="微软雅黑" w:cs="仿宋_GB2312"/>
          <w:sz w:val="24"/>
        </w:rPr>
        <w:t>月</w:t>
      </w:r>
      <w:r w:rsidRPr="006F6D18">
        <w:rPr>
          <w:rFonts w:ascii="微软雅黑" w:eastAsia="微软雅黑" w:hAnsi="微软雅黑"/>
          <w:sz w:val="24"/>
        </w:rPr>
        <w:t>25</w:t>
      </w:r>
      <w:r w:rsidRPr="006F6D18">
        <w:rPr>
          <w:rFonts w:ascii="微软雅黑" w:eastAsia="微软雅黑" w:hAnsi="微软雅黑" w:cs="仿宋_GB2312"/>
          <w:sz w:val="24"/>
        </w:rPr>
        <w:t>日国务院发布的《中华人民共和国资源税暂行条例》同时废止。</w:t>
      </w:r>
    </w:p>
    <w:p w:rsidR="006F6D18" w:rsidRPr="006F6D18" w:rsidRDefault="006F6D18" w:rsidP="006F6D18">
      <w:pPr>
        <w:spacing w:line="300" w:lineRule="exact"/>
        <w:ind w:firstLineChars="200" w:firstLine="472"/>
        <w:rPr>
          <w:rFonts w:ascii="微软雅黑" w:eastAsia="微软雅黑" w:hAnsi="微软雅黑" w:cs="仿宋_GB2312"/>
          <w:sz w:val="24"/>
        </w:rPr>
      </w:pPr>
    </w:p>
    <w:p w:rsidR="00974042" w:rsidRPr="006F6D18" w:rsidRDefault="009F1A2E" w:rsidP="006F6D18">
      <w:pPr>
        <w:spacing w:line="300" w:lineRule="exact"/>
        <w:rPr>
          <w:rFonts w:ascii="微软雅黑" w:eastAsia="微软雅黑" w:hAnsi="微软雅黑" w:cs="仿宋_GB2312"/>
          <w:b/>
          <w:bCs/>
          <w:sz w:val="24"/>
        </w:rPr>
      </w:pPr>
      <w:r w:rsidRPr="006F6D18">
        <w:rPr>
          <w:rFonts w:ascii="微软雅黑" w:eastAsia="微软雅黑" w:hAnsi="微软雅黑" w:cs="仿宋_GB2312" w:hint="eastAsia"/>
          <w:b/>
          <w:bCs/>
          <w:sz w:val="24"/>
        </w:rPr>
        <w:t>附：</w:t>
      </w:r>
    </w:p>
    <w:p w:rsidR="00974042" w:rsidRPr="00A832F7" w:rsidRDefault="009F1A2E" w:rsidP="006F6D18">
      <w:pPr>
        <w:spacing w:line="240" w:lineRule="exact"/>
        <w:jc w:val="center"/>
        <w:rPr>
          <w:rFonts w:ascii="微软雅黑" w:eastAsia="微软雅黑" w:hAnsi="微软雅黑" w:cs="仿宋_GB2312"/>
          <w:b/>
          <w:bCs/>
          <w:spacing w:val="74"/>
          <w:sz w:val="22"/>
          <w:szCs w:val="22"/>
        </w:rPr>
      </w:pPr>
      <w:r w:rsidRPr="00A832F7">
        <w:rPr>
          <w:rFonts w:ascii="微软雅黑" w:eastAsia="微软雅黑" w:hAnsi="微软雅黑" w:cs="仿宋_GB2312" w:hint="eastAsia"/>
          <w:b/>
          <w:bCs/>
          <w:spacing w:val="74"/>
          <w:sz w:val="22"/>
          <w:szCs w:val="22"/>
        </w:rPr>
        <w:t>资源税税目税率表</w:t>
      </w:r>
    </w:p>
    <w:tbl>
      <w:tblPr>
        <w:tblW w:w="9274" w:type="dxa"/>
        <w:tblInd w:w="473" w:type="dxa"/>
        <w:tblLayout w:type="fixed"/>
        <w:tblLook w:val="04A0"/>
      </w:tblPr>
      <w:tblGrid>
        <w:gridCol w:w="911"/>
        <w:gridCol w:w="3686"/>
        <w:gridCol w:w="1984"/>
        <w:gridCol w:w="2693"/>
      </w:tblGrid>
      <w:tr w:rsidR="00974042" w:rsidRPr="00A832F7" w:rsidTr="006F6D18">
        <w:trPr>
          <w:trHeight w:val="437"/>
        </w:trPr>
        <w:tc>
          <w:tcPr>
            <w:tcW w:w="459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税    目</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征税对象</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税    率</w:t>
            </w:r>
          </w:p>
        </w:tc>
      </w:tr>
      <w:tr w:rsidR="00974042" w:rsidRPr="00A832F7" w:rsidTr="006F6D18">
        <w:trPr>
          <w:cantSplit/>
          <w:trHeight w:val="354"/>
        </w:trPr>
        <w:tc>
          <w:tcPr>
            <w:tcW w:w="911"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能源</w:t>
            </w:r>
          </w:p>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3686"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原油</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6％</w:t>
            </w:r>
          </w:p>
        </w:tc>
      </w:tr>
      <w:tr w:rsidR="00974042" w:rsidRPr="00A832F7" w:rsidTr="006F6D18">
        <w:trPr>
          <w:cantSplit/>
          <w:trHeight w:val="478"/>
        </w:trPr>
        <w:tc>
          <w:tcPr>
            <w:tcW w:w="911"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3686"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天然气、页岩气、天然气水合物</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6％</w:t>
            </w:r>
          </w:p>
        </w:tc>
      </w:tr>
      <w:tr w:rsidR="00974042" w:rsidRPr="00A832F7" w:rsidTr="006F6D18">
        <w:trPr>
          <w:cantSplit/>
          <w:trHeight w:val="471"/>
        </w:trPr>
        <w:tc>
          <w:tcPr>
            <w:tcW w:w="911"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3686"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煤</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2％－10％</w:t>
            </w:r>
          </w:p>
        </w:tc>
      </w:tr>
      <w:tr w:rsidR="00974042" w:rsidRPr="00A832F7" w:rsidTr="006F6D18">
        <w:trPr>
          <w:trHeight w:val="478"/>
        </w:trPr>
        <w:tc>
          <w:tcPr>
            <w:tcW w:w="911"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3686"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煤成(层)气</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1％－2％</w:t>
            </w:r>
          </w:p>
        </w:tc>
      </w:tr>
      <w:tr w:rsidR="00974042" w:rsidRPr="00A832F7" w:rsidTr="006F6D18">
        <w:trPr>
          <w:cantSplit/>
          <w:trHeight w:val="541"/>
        </w:trPr>
        <w:tc>
          <w:tcPr>
            <w:tcW w:w="911"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3686"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铀、钍</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4％</w:t>
            </w:r>
          </w:p>
        </w:tc>
      </w:tr>
      <w:tr w:rsidR="00974042" w:rsidRPr="00A832F7" w:rsidTr="006F6D18">
        <w:trPr>
          <w:cantSplit/>
          <w:trHeight w:val="444"/>
        </w:trPr>
        <w:tc>
          <w:tcPr>
            <w:tcW w:w="911"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3686"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油页岩、油砂、天然沥青、石煤</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1％－4％</w:t>
            </w:r>
          </w:p>
        </w:tc>
      </w:tr>
      <w:tr w:rsidR="00974042" w:rsidRPr="00A832F7" w:rsidTr="006F6D18">
        <w:trPr>
          <w:cantSplit/>
          <w:trHeight w:val="632"/>
        </w:trPr>
        <w:tc>
          <w:tcPr>
            <w:tcW w:w="911" w:type="dxa"/>
            <w:vMerge/>
            <w:tcBorders>
              <w:left w:val="single" w:sz="6" w:space="0" w:color="auto"/>
              <w:bottom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3686"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地热</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693"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1％－20％或者每立方米1</w:t>
            </w:r>
            <w:r w:rsidRPr="00A832F7">
              <w:rPr>
                <w:rFonts w:ascii="微软雅黑" w:eastAsia="微软雅黑" w:hAnsi="微软雅黑"/>
                <w:kern w:val="0"/>
                <w:sz w:val="22"/>
                <w:szCs w:val="22"/>
              </w:rPr>
              <w:t>—</w:t>
            </w:r>
            <w:r w:rsidRPr="00A832F7">
              <w:rPr>
                <w:rFonts w:ascii="微软雅黑" w:eastAsia="微软雅黑" w:hAnsi="微软雅黑" w:hint="eastAsia"/>
                <w:kern w:val="0"/>
                <w:sz w:val="22"/>
                <w:szCs w:val="22"/>
              </w:rPr>
              <w:t>30元</w:t>
            </w:r>
          </w:p>
        </w:tc>
      </w:tr>
    </w:tbl>
    <w:p w:rsidR="00F95E50" w:rsidRPr="00A832F7" w:rsidRDefault="00F95E50" w:rsidP="006F6D18">
      <w:pPr>
        <w:spacing w:line="240" w:lineRule="exact"/>
        <w:jc w:val="center"/>
        <w:rPr>
          <w:rFonts w:ascii="微软雅黑" w:eastAsia="微软雅黑" w:hAnsi="微软雅黑" w:cs="仿宋_GB2312"/>
          <w:b/>
          <w:bCs/>
          <w:spacing w:val="74"/>
          <w:sz w:val="22"/>
          <w:szCs w:val="22"/>
        </w:rPr>
      </w:pPr>
    </w:p>
    <w:tbl>
      <w:tblPr>
        <w:tblW w:w="10031" w:type="dxa"/>
        <w:tblLayout w:type="fixed"/>
        <w:tblLook w:val="04A0"/>
      </w:tblPr>
      <w:tblGrid>
        <w:gridCol w:w="392"/>
        <w:gridCol w:w="1134"/>
        <w:gridCol w:w="4394"/>
        <w:gridCol w:w="1559"/>
        <w:gridCol w:w="2552"/>
      </w:tblGrid>
      <w:tr w:rsidR="00974042" w:rsidRPr="00A832F7" w:rsidTr="006F6D18">
        <w:trPr>
          <w:trHeight w:val="276"/>
        </w:trPr>
        <w:tc>
          <w:tcPr>
            <w:tcW w:w="5920"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lastRenderedPageBreak/>
              <w:t>税    目</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征税对象</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税    率</w:t>
            </w:r>
          </w:p>
        </w:tc>
      </w:tr>
      <w:tr w:rsidR="00974042" w:rsidRPr="00A832F7" w:rsidTr="006F6D18">
        <w:trPr>
          <w:cantSplit/>
          <w:trHeight w:val="70"/>
        </w:trPr>
        <w:tc>
          <w:tcPr>
            <w:tcW w:w="392"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金属</w:t>
            </w:r>
          </w:p>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113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黑色金属</w:t>
            </w: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铁、锰、铬、钒、钛</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1％－9％</w:t>
            </w:r>
          </w:p>
        </w:tc>
      </w:tr>
      <w:tr w:rsidR="00974042" w:rsidRPr="00A832F7" w:rsidTr="006F6D18">
        <w:trPr>
          <w:cantSplit/>
          <w:trHeight w:val="205"/>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有色金属</w:t>
            </w: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铜、铅、锌、锡、镍、锑、镁、钴、铋、汞</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2％－10％</w:t>
            </w:r>
          </w:p>
        </w:tc>
      </w:tr>
      <w:tr w:rsidR="00974042" w:rsidRPr="00A832F7" w:rsidTr="006F6D18">
        <w:trPr>
          <w:cantSplit/>
          <w:trHeight w:val="142"/>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铝土矿</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2％－9％</w:t>
            </w:r>
          </w:p>
        </w:tc>
      </w:tr>
      <w:tr w:rsidR="00974042" w:rsidRPr="00A832F7" w:rsidTr="006F6D18">
        <w:trPr>
          <w:cantSplit/>
          <w:trHeight w:val="65"/>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钨</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6．5％</w:t>
            </w:r>
          </w:p>
        </w:tc>
      </w:tr>
      <w:tr w:rsidR="00974042" w:rsidRPr="00A832F7" w:rsidTr="006F6D18">
        <w:trPr>
          <w:cantSplit/>
          <w:trHeight w:val="65"/>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钼</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8％</w:t>
            </w:r>
          </w:p>
        </w:tc>
      </w:tr>
      <w:tr w:rsidR="00974042" w:rsidRPr="00A832F7" w:rsidTr="006F6D18">
        <w:trPr>
          <w:cantSplit/>
          <w:trHeight w:val="200"/>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金、银</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2％－6％</w:t>
            </w:r>
          </w:p>
        </w:tc>
      </w:tr>
      <w:tr w:rsidR="00974042" w:rsidRPr="00A832F7" w:rsidTr="006F6D18">
        <w:trPr>
          <w:cantSplit/>
          <w:trHeight w:val="217"/>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铂、钯、钌、锇、铱、铑</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5％－10％</w:t>
            </w:r>
          </w:p>
        </w:tc>
      </w:tr>
      <w:tr w:rsidR="00974042" w:rsidRPr="00A832F7" w:rsidTr="006F6D18">
        <w:trPr>
          <w:cantSplit/>
          <w:trHeight w:val="108"/>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轻稀土</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7％－12％</w:t>
            </w:r>
          </w:p>
        </w:tc>
      </w:tr>
      <w:tr w:rsidR="00974042" w:rsidRPr="00A832F7" w:rsidTr="006F6D18">
        <w:trPr>
          <w:cantSplit/>
          <w:trHeight w:val="139"/>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中重稀土</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20％</w:t>
            </w:r>
          </w:p>
        </w:tc>
      </w:tr>
      <w:tr w:rsidR="00974042" w:rsidRPr="00A832F7" w:rsidTr="006F6D18">
        <w:trPr>
          <w:cantSplit/>
          <w:trHeight w:val="392"/>
        </w:trPr>
        <w:tc>
          <w:tcPr>
            <w:tcW w:w="392" w:type="dxa"/>
            <w:vMerge/>
            <w:tcBorders>
              <w:left w:val="single" w:sz="6" w:space="0" w:color="auto"/>
              <w:bottom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bottom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铍、锂、锆、锶、铷、铯、铌、钽、锗、镓、铟、铊、铪、铼、镉、硒、碲</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2％－10％</w:t>
            </w:r>
          </w:p>
        </w:tc>
      </w:tr>
      <w:tr w:rsidR="00974042" w:rsidRPr="00A832F7" w:rsidTr="006F6D18">
        <w:trPr>
          <w:cantSplit/>
          <w:trHeight w:val="236"/>
        </w:trPr>
        <w:tc>
          <w:tcPr>
            <w:tcW w:w="392"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F1A2E" w:rsidP="006F6D18">
            <w:pPr>
              <w:spacing w:line="240" w:lineRule="exact"/>
              <w:jc w:val="center"/>
              <w:rPr>
                <w:rFonts w:ascii="微软雅黑" w:eastAsia="微软雅黑" w:hAnsi="微软雅黑"/>
                <w:kern w:val="0"/>
                <w:sz w:val="22"/>
                <w:szCs w:val="22"/>
              </w:rPr>
            </w:pPr>
            <w:r w:rsidRPr="00A832F7">
              <w:rPr>
                <w:rFonts w:ascii="微软雅黑" w:eastAsia="微软雅黑" w:hAnsi="微软雅黑" w:hint="eastAsia"/>
                <w:kern w:val="0"/>
                <w:sz w:val="22"/>
                <w:szCs w:val="22"/>
              </w:rPr>
              <w:t>非金属</w:t>
            </w:r>
          </w:p>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1134"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F1A2E" w:rsidP="006F6D18">
            <w:pPr>
              <w:spacing w:line="240" w:lineRule="exact"/>
              <w:jc w:val="center"/>
              <w:rPr>
                <w:rFonts w:ascii="微软雅黑" w:eastAsia="微软雅黑" w:hAnsi="微软雅黑"/>
                <w:kern w:val="0"/>
                <w:sz w:val="22"/>
                <w:szCs w:val="22"/>
              </w:rPr>
            </w:pPr>
            <w:r w:rsidRPr="00A832F7">
              <w:rPr>
                <w:rFonts w:ascii="微软雅黑" w:eastAsia="微软雅黑" w:hAnsi="微软雅黑" w:hint="eastAsia"/>
                <w:kern w:val="0"/>
                <w:sz w:val="22"/>
                <w:szCs w:val="22"/>
              </w:rPr>
              <w:t>矿物类</w:t>
            </w:r>
          </w:p>
          <w:p w:rsidR="00974042" w:rsidRPr="00A832F7" w:rsidRDefault="00974042" w:rsidP="006F6D18">
            <w:pPr>
              <w:spacing w:line="240" w:lineRule="exact"/>
              <w:jc w:val="center"/>
              <w:rPr>
                <w:rFonts w:ascii="微软雅黑" w:eastAsia="微软雅黑" w:hAnsi="微软雅黑"/>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高岭土</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1％－6％</w:t>
            </w:r>
          </w:p>
        </w:tc>
      </w:tr>
      <w:tr w:rsidR="00974042" w:rsidRPr="00A832F7" w:rsidTr="006F6D18">
        <w:trPr>
          <w:cantSplit/>
          <w:trHeight w:val="267"/>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石灰岩</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1％－6％或者每吨(或者每立方米)1－10元</w:t>
            </w:r>
          </w:p>
        </w:tc>
      </w:tr>
      <w:tr w:rsidR="00974042" w:rsidRPr="00A832F7" w:rsidTr="006F6D18">
        <w:trPr>
          <w:cantSplit/>
          <w:trHeight w:val="203"/>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磷</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3％－8％</w:t>
            </w:r>
          </w:p>
        </w:tc>
      </w:tr>
      <w:tr w:rsidR="00974042" w:rsidRPr="00A832F7" w:rsidTr="006F6D18">
        <w:trPr>
          <w:cantSplit/>
          <w:trHeight w:val="79"/>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石墨</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3％－12％</w:t>
            </w:r>
          </w:p>
        </w:tc>
      </w:tr>
      <w:tr w:rsidR="00974042" w:rsidRPr="00A832F7" w:rsidTr="006F6D18">
        <w:trPr>
          <w:cantSplit/>
          <w:trHeight w:val="253"/>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萤石、硫铁矿、自然硫</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1％－8％</w:t>
            </w:r>
          </w:p>
        </w:tc>
      </w:tr>
      <w:tr w:rsidR="00974042" w:rsidRPr="00A832F7" w:rsidTr="006F6D18">
        <w:trPr>
          <w:cantSplit/>
          <w:trHeight w:val="1703"/>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天然石英砂、脉石英、粉石英、水晶、工业用金刚石、冰洲石、蓝晶石、硅线石(矽线石)、长石、滑石、刚玉、菱镁矿、颜料矿物、天然碱、芒硝、钠硝石、明矾石、砷、硼、碘、溴、膨润土、硅藻土、陶瓷土、耐火粘土、铁矾土、凹凸棒石粘土、海泡石粘土、伊利石粘土、累托石粘土</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kern w:val="0"/>
                <w:sz w:val="22"/>
                <w:szCs w:val="22"/>
              </w:rPr>
            </w:pPr>
            <w:r w:rsidRPr="00A832F7">
              <w:rPr>
                <w:rFonts w:ascii="微软雅黑" w:eastAsia="微软雅黑" w:hAnsi="微软雅黑" w:hint="eastAsia"/>
                <w:kern w:val="0"/>
                <w:sz w:val="22"/>
                <w:szCs w:val="22"/>
              </w:rPr>
              <w:t>原矿或者选矿</w:t>
            </w:r>
          </w:p>
          <w:p w:rsidR="00974042" w:rsidRPr="00A832F7" w:rsidRDefault="00974042" w:rsidP="006F6D18">
            <w:pPr>
              <w:spacing w:line="240" w:lineRule="exact"/>
              <w:rPr>
                <w:rFonts w:ascii="微软雅黑" w:eastAsia="微软雅黑" w:hAnsi="微软雅黑"/>
                <w:sz w:val="22"/>
                <w:szCs w:val="22"/>
              </w:rPr>
            </w:pP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kern w:val="0"/>
                <w:sz w:val="22"/>
                <w:szCs w:val="22"/>
              </w:rPr>
            </w:pPr>
            <w:r w:rsidRPr="00A832F7">
              <w:rPr>
                <w:rFonts w:ascii="微软雅黑" w:eastAsia="微软雅黑" w:hAnsi="微软雅黑" w:hint="eastAsia"/>
                <w:kern w:val="0"/>
                <w:sz w:val="22"/>
                <w:szCs w:val="22"/>
              </w:rPr>
              <w:t>1％－12％</w:t>
            </w:r>
          </w:p>
          <w:p w:rsidR="00974042" w:rsidRPr="00A832F7" w:rsidRDefault="00974042" w:rsidP="006F6D18">
            <w:pPr>
              <w:spacing w:line="240" w:lineRule="exact"/>
              <w:rPr>
                <w:rFonts w:ascii="微软雅黑" w:eastAsia="微软雅黑" w:hAnsi="微软雅黑"/>
                <w:sz w:val="22"/>
                <w:szCs w:val="22"/>
              </w:rPr>
            </w:pPr>
          </w:p>
        </w:tc>
      </w:tr>
      <w:tr w:rsidR="00974042" w:rsidRPr="00A832F7" w:rsidTr="006F6D18">
        <w:trPr>
          <w:cantSplit/>
          <w:trHeight w:val="986"/>
        </w:trPr>
        <w:tc>
          <w:tcPr>
            <w:tcW w:w="392"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叶蜡石、硅灰石、透辉石、珍珠岩、云母、沸石、重晶石、毒重石、方解石、蛭石、透闪石、工业用电气石、白垩、石棉、蓝石棉、红柱石、石榴子石、石膏</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2％－12％</w:t>
            </w:r>
          </w:p>
        </w:tc>
      </w:tr>
      <w:tr w:rsidR="00974042" w:rsidRPr="00A832F7" w:rsidTr="006F6D18">
        <w:trPr>
          <w:cantSplit/>
          <w:trHeight w:val="1330"/>
        </w:trPr>
        <w:tc>
          <w:tcPr>
            <w:tcW w:w="392" w:type="dxa"/>
            <w:vMerge/>
            <w:tcBorders>
              <w:left w:val="single" w:sz="6" w:space="0" w:color="auto"/>
              <w:bottom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1134" w:type="dxa"/>
            <w:vMerge/>
            <w:tcBorders>
              <w:left w:val="single" w:sz="6" w:space="0" w:color="auto"/>
              <w:bottom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其他粘土(铸型用粘土、砖瓦用粘土、陶粒用粘土、水泥配料用粘土、水泥配料用红土、水泥配料用黄土、水泥配料用泥岩、保温材料用粘土)</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1％－5％或者每吨(或者每立方米)0．1－5元</w:t>
            </w:r>
          </w:p>
        </w:tc>
      </w:tr>
    </w:tbl>
    <w:p w:rsidR="00974042" w:rsidRPr="00A832F7" w:rsidRDefault="00974042" w:rsidP="006F6D18">
      <w:pPr>
        <w:spacing w:line="240" w:lineRule="exact"/>
        <w:rPr>
          <w:rFonts w:ascii="微软雅黑" w:eastAsia="微软雅黑" w:hAnsi="微软雅黑" w:cs="仿宋_GB2312"/>
          <w:b/>
          <w:bCs/>
          <w:sz w:val="22"/>
          <w:szCs w:val="22"/>
        </w:rPr>
      </w:pPr>
      <w:bookmarkStart w:id="2" w:name="_GoBack"/>
      <w:bookmarkEnd w:id="2"/>
    </w:p>
    <w:tbl>
      <w:tblPr>
        <w:tblW w:w="10003" w:type="dxa"/>
        <w:tblInd w:w="28" w:type="dxa"/>
        <w:tblLayout w:type="fixed"/>
        <w:tblLook w:val="04A0"/>
      </w:tblPr>
      <w:tblGrid>
        <w:gridCol w:w="364"/>
        <w:gridCol w:w="1134"/>
        <w:gridCol w:w="4394"/>
        <w:gridCol w:w="1559"/>
        <w:gridCol w:w="2552"/>
      </w:tblGrid>
      <w:tr w:rsidR="00974042" w:rsidRPr="00A832F7" w:rsidTr="006F6D18">
        <w:trPr>
          <w:trHeight w:val="471"/>
        </w:trPr>
        <w:tc>
          <w:tcPr>
            <w:tcW w:w="5892" w:type="dxa"/>
            <w:gridSpan w:val="3"/>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税    目</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征税对象</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税    率</w:t>
            </w:r>
          </w:p>
        </w:tc>
      </w:tr>
      <w:tr w:rsidR="00974042" w:rsidRPr="00A832F7" w:rsidTr="006F6D18">
        <w:trPr>
          <w:cantSplit/>
          <w:trHeight w:val="1418"/>
        </w:trPr>
        <w:tc>
          <w:tcPr>
            <w:tcW w:w="364"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tc>
        <w:tc>
          <w:tcPr>
            <w:tcW w:w="113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kern w:val="0"/>
                <w:sz w:val="22"/>
                <w:szCs w:val="22"/>
              </w:rPr>
            </w:pPr>
            <w:r w:rsidRPr="00A832F7">
              <w:rPr>
                <w:rFonts w:ascii="微软雅黑" w:eastAsia="微软雅黑" w:hAnsi="微软雅黑" w:hint="eastAsia"/>
                <w:kern w:val="0"/>
                <w:sz w:val="22"/>
                <w:szCs w:val="22"/>
              </w:rPr>
              <w:t>岩石类</w:t>
            </w:r>
          </w:p>
          <w:p w:rsidR="00974042" w:rsidRPr="00A832F7" w:rsidRDefault="00974042" w:rsidP="006F6D18">
            <w:pPr>
              <w:spacing w:line="240" w:lineRule="exact"/>
              <w:rPr>
                <w:rFonts w:ascii="微软雅黑" w:eastAsia="微软雅黑" w:hAnsi="微软雅黑"/>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大理岩、花岗岩、白云岩、石英岩、砂岩、辉绿岩、安山岩、闪长岩、板岩、玄武岩、片麻岩、角闪岩、页岩、浮石、凝灰岩、黑曜岩、霞石正长岩、蛇纹岩、麦饭石、泥灰岩、含钾岩石、含钾砂页岩、天然油石、橄榄岩、松脂岩、粗面岩、辉长岩、辉石岩、正长岩、火山灰、火山渣、泥炭</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kern w:val="0"/>
                <w:sz w:val="22"/>
                <w:szCs w:val="22"/>
              </w:rPr>
            </w:pPr>
            <w:r w:rsidRPr="00A832F7">
              <w:rPr>
                <w:rFonts w:ascii="微软雅黑" w:eastAsia="微软雅黑" w:hAnsi="微软雅黑" w:hint="eastAsia"/>
                <w:kern w:val="0"/>
                <w:sz w:val="22"/>
                <w:szCs w:val="22"/>
              </w:rPr>
              <w:t>原矿或者选矿</w:t>
            </w:r>
          </w:p>
          <w:p w:rsidR="00974042" w:rsidRPr="00A832F7" w:rsidRDefault="00974042" w:rsidP="006F6D18">
            <w:pPr>
              <w:spacing w:line="240" w:lineRule="exact"/>
              <w:rPr>
                <w:rFonts w:ascii="微软雅黑" w:eastAsia="微软雅黑" w:hAnsi="微软雅黑"/>
                <w:sz w:val="22"/>
                <w:szCs w:val="22"/>
              </w:rPr>
            </w:pP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kern w:val="0"/>
                <w:sz w:val="22"/>
                <w:szCs w:val="22"/>
              </w:rPr>
            </w:pPr>
            <w:r w:rsidRPr="00A832F7">
              <w:rPr>
                <w:rFonts w:ascii="微软雅黑" w:eastAsia="微软雅黑" w:hAnsi="微软雅黑" w:hint="eastAsia"/>
                <w:kern w:val="0"/>
                <w:sz w:val="22"/>
                <w:szCs w:val="22"/>
              </w:rPr>
              <w:t>1％－10％</w:t>
            </w:r>
          </w:p>
          <w:p w:rsidR="00974042" w:rsidRPr="00A832F7" w:rsidRDefault="00974042" w:rsidP="006F6D18">
            <w:pPr>
              <w:spacing w:line="240" w:lineRule="exact"/>
              <w:rPr>
                <w:rFonts w:ascii="微软雅黑" w:eastAsia="微软雅黑" w:hAnsi="微软雅黑"/>
                <w:sz w:val="22"/>
                <w:szCs w:val="22"/>
              </w:rPr>
            </w:pPr>
          </w:p>
        </w:tc>
      </w:tr>
      <w:tr w:rsidR="00974042" w:rsidRPr="00A832F7" w:rsidTr="006F6D18">
        <w:trPr>
          <w:cantSplit/>
          <w:trHeight w:val="577"/>
        </w:trPr>
        <w:tc>
          <w:tcPr>
            <w:tcW w:w="364" w:type="dxa"/>
            <w:vMerge/>
            <w:tcBorders>
              <w:left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tc>
        <w:tc>
          <w:tcPr>
            <w:tcW w:w="113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 xml:space="preserve">砂石 </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1％－5％或者每吨(或者每立方米)0．1－5元</w:t>
            </w:r>
          </w:p>
        </w:tc>
      </w:tr>
      <w:tr w:rsidR="00974042" w:rsidRPr="00A832F7" w:rsidTr="006F6D18">
        <w:trPr>
          <w:cantSplit/>
          <w:trHeight w:val="415"/>
        </w:trPr>
        <w:tc>
          <w:tcPr>
            <w:tcW w:w="364" w:type="dxa"/>
            <w:vMerge/>
            <w:tcBorders>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tc>
        <w:tc>
          <w:tcPr>
            <w:tcW w:w="113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宝玉石类</w:t>
            </w:r>
          </w:p>
        </w:tc>
        <w:tc>
          <w:tcPr>
            <w:tcW w:w="4394"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宝石、玉石、宝石级金刚石、玛瑙、黄玉、碧玺</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原矿或者选矿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4％－20％</w:t>
            </w:r>
          </w:p>
        </w:tc>
      </w:tr>
      <w:tr w:rsidR="00974042" w:rsidRPr="00A832F7" w:rsidTr="006F6D18">
        <w:trPr>
          <w:trHeight w:val="210"/>
        </w:trPr>
        <w:tc>
          <w:tcPr>
            <w:tcW w:w="364"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F1A2E" w:rsidP="006F6D18">
            <w:pPr>
              <w:spacing w:line="240" w:lineRule="exact"/>
              <w:jc w:val="center"/>
              <w:rPr>
                <w:rFonts w:ascii="微软雅黑" w:eastAsia="微软雅黑" w:hAnsi="微软雅黑"/>
                <w:kern w:val="0"/>
                <w:sz w:val="22"/>
                <w:szCs w:val="22"/>
              </w:rPr>
            </w:pPr>
            <w:r w:rsidRPr="00A832F7">
              <w:rPr>
                <w:rFonts w:ascii="微软雅黑" w:eastAsia="微软雅黑" w:hAnsi="微软雅黑" w:hint="eastAsia"/>
                <w:kern w:val="0"/>
                <w:sz w:val="22"/>
                <w:szCs w:val="22"/>
              </w:rPr>
              <w:t>水气</w:t>
            </w:r>
          </w:p>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矿产</w:t>
            </w:r>
          </w:p>
        </w:tc>
        <w:tc>
          <w:tcPr>
            <w:tcW w:w="552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二氧化碳气、硫化氢气、氦气、氡气</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2％－5％</w:t>
            </w:r>
          </w:p>
        </w:tc>
      </w:tr>
      <w:tr w:rsidR="00974042" w:rsidRPr="00A832F7" w:rsidTr="006F6D18">
        <w:trPr>
          <w:trHeight w:val="525"/>
        </w:trPr>
        <w:tc>
          <w:tcPr>
            <w:tcW w:w="364" w:type="dxa"/>
            <w:vMerge/>
            <w:tcBorders>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sz w:val="22"/>
                <w:szCs w:val="22"/>
              </w:rPr>
            </w:pPr>
          </w:p>
        </w:tc>
        <w:tc>
          <w:tcPr>
            <w:tcW w:w="552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矿泉水</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1％－20％或者每立方米1－30元</w:t>
            </w:r>
          </w:p>
        </w:tc>
      </w:tr>
      <w:tr w:rsidR="00974042" w:rsidRPr="00A832F7" w:rsidTr="006F6D18">
        <w:trPr>
          <w:trHeight w:val="223"/>
        </w:trPr>
        <w:tc>
          <w:tcPr>
            <w:tcW w:w="364" w:type="dxa"/>
            <w:vMerge w:val="restart"/>
            <w:tcBorders>
              <w:top w:val="single" w:sz="6" w:space="0" w:color="auto"/>
              <w:left w:val="single" w:sz="6" w:space="0" w:color="auto"/>
              <w:right w:val="single" w:sz="6" w:space="0" w:color="auto"/>
              <w:tl2br w:val="nil"/>
              <w:tr2bl w:val="nil"/>
            </w:tcBorders>
            <w:vAlign w:val="center"/>
          </w:tcPr>
          <w:p w:rsidR="00974042" w:rsidRPr="00A832F7" w:rsidRDefault="00974042" w:rsidP="006F6D18">
            <w:pPr>
              <w:spacing w:line="240" w:lineRule="exact"/>
              <w:jc w:val="center"/>
              <w:rPr>
                <w:rFonts w:ascii="微软雅黑" w:eastAsia="微软雅黑" w:hAnsi="微软雅黑"/>
                <w:kern w:val="0"/>
                <w:sz w:val="22"/>
                <w:szCs w:val="22"/>
              </w:rPr>
            </w:pPr>
          </w:p>
          <w:p w:rsidR="00974042" w:rsidRPr="00A832F7" w:rsidRDefault="009F1A2E" w:rsidP="006F6D18">
            <w:pPr>
              <w:spacing w:line="240" w:lineRule="exact"/>
              <w:jc w:val="center"/>
              <w:rPr>
                <w:rFonts w:ascii="微软雅黑" w:eastAsia="微软雅黑" w:hAnsi="微软雅黑"/>
                <w:sz w:val="22"/>
                <w:szCs w:val="22"/>
              </w:rPr>
            </w:pPr>
            <w:r w:rsidRPr="00A832F7">
              <w:rPr>
                <w:rFonts w:ascii="微软雅黑" w:eastAsia="微软雅黑" w:hAnsi="微软雅黑" w:hint="eastAsia"/>
                <w:kern w:val="0"/>
                <w:sz w:val="22"/>
                <w:szCs w:val="22"/>
              </w:rPr>
              <w:t>盐</w:t>
            </w:r>
          </w:p>
        </w:tc>
        <w:tc>
          <w:tcPr>
            <w:tcW w:w="552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钠盐、钾盐、镁盐、锂盐</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选矿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3％－15％</w:t>
            </w:r>
          </w:p>
        </w:tc>
      </w:tr>
      <w:tr w:rsidR="00974042" w:rsidRPr="00A832F7" w:rsidTr="006F6D18">
        <w:trPr>
          <w:cantSplit/>
          <w:trHeight w:val="453"/>
        </w:trPr>
        <w:tc>
          <w:tcPr>
            <w:tcW w:w="364" w:type="dxa"/>
            <w:vMerge/>
            <w:tcBorders>
              <w:left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sz w:val="22"/>
                <w:szCs w:val="22"/>
              </w:rPr>
            </w:pPr>
          </w:p>
        </w:tc>
        <w:tc>
          <w:tcPr>
            <w:tcW w:w="552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天然卤水</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kern w:val="0"/>
                <w:sz w:val="22"/>
                <w:szCs w:val="22"/>
              </w:rPr>
            </w:pPr>
          </w:p>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原矿</w:t>
            </w: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3％－15％或者每吨(或者每立方米)1－10元</w:t>
            </w:r>
          </w:p>
        </w:tc>
      </w:tr>
      <w:tr w:rsidR="00974042" w:rsidRPr="00A832F7" w:rsidTr="006F6D18">
        <w:trPr>
          <w:cantSplit/>
          <w:trHeight w:val="92"/>
        </w:trPr>
        <w:tc>
          <w:tcPr>
            <w:tcW w:w="364" w:type="dxa"/>
            <w:vMerge/>
            <w:tcBorders>
              <w:left w:val="single" w:sz="6" w:space="0" w:color="auto"/>
              <w:bottom w:val="single" w:sz="6" w:space="0" w:color="auto"/>
              <w:right w:val="single" w:sz="6" w:space="0" w:color="auto"/>
              <w:tl2br w:val="nil"/>
              <w:tr2bl w:val="nil"/>
            </w:tcBorders>
          </w:tcPr>
          <w:p w:rsidR="00974042" w:rsidRPr="00A832F7" w:rsidRDefault="00974042" w:rsidP="006F6D18">
            <w:pPr>
              <w:spacing w:line="240" w:lineRule="exact"/>
              <w:jc w:val="left"/>
              <w:rPr>
                <w:rFonts w:ascii="微软雅黑" w:eastAsia="微软雅黑" w:hAnsi="微软雅黑"/>
                <w:kern w:val="0"/>
                <w:sz w:val="22"/>
                <w:szCs w:val="22"/>
              </w:rPr>
            </w:pPr>
          </w:p>
        </w:tc>
        <w:tc>
          <w:tcPr>
            <w:tcW w:w="552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海盐</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74042" w:rsidP="006F6D18">
            <w:pPr>
              <w:spacing w:line="240" w:lineRule="exact"/>
              <w:rPr>
                <w:rFonts w:ascii="微软雅黑" w:eastAsia="微软雅黑" w:hAnsi="微软雅黑"/>
                <w:sz w:val="22"/>
                <w:szCs w:val="22"/>
              </w:rPr>
            </w:pPr>
          </w:p>
        </w:tc>
        <w:tc>
          <w:tcPr>
            <w:tcW w:w="2552" w:type="dxa"/>
            <w:tcBorders>
              <w:top w:val="single" w:sz="6" w:space="0" w:color="auto"/>
              <w:left w:val="single" w:sz="6" w:space="0" w:color="auto"/>
              <w:bottom w:val="single" w:sz="6" w:space="0" w:color="auto"/>
              <w:right w:val="single" w:sz="6" w:space="0" w:color="auto"/>
              <w:tl2br w:val="nil"/>
              <w:tr2bl w:val="nil"/>
            </w:tcBorders>
            <w:vAlign w:val="center"/>
          </w:tcPr>
          <w:p w:rsidR="00974042" w:rsidRPr="00A832F7" w:rsidRDefault="009F1A2E" w:rsidP="006F6D18">
            <w:pPr>
              <w:spacing w:line="240" w:lineRule="exact"/>
              <w:rPr>
                <w:rFonts w:ascii="微软雅黑" w:eastAsia="微软雅黑" w:hAnsi="微软雅黑"/>
                <w:sz w:val="22"/>
                <w:szCs w:val="22"/>
              </w:rPr>
            </w:pPr>
            <w:r w:rsidRPr="00A832F7">
              <w:rPr>
                <w:rFonts w:ascii="微软雅黑" w:eastAsia="微软雅黑" w:hAnsi="微软雅黑" w:hint="eastAsia"/>
                <w:kern w:val="0"/>
                <w:sz w:val="22"/>
                <w:szCs w:val="22"/>
              </w:rPr>
              <w:t>2％－5％</w:t>
            </w:r>
          </w:p>
        </w:tc>
      </w:tr>
    </w:tbl>
    <w:p w:rsidR="00974042" w:rsidRPr="00A832F7" w:rsidRDefault="00974042" w:rsidP="006F6D18">
      <w:pPr>
        <w:spacing w:line="240" w:lineRule="exact"/>
        <w:rPr>
          <w:rFonts w:ascii="微软雅黑" w:eastAsia="微软雅黑" w:hAnsi="微软雅黑" w:cs="仿宋_GB2312"/>
          <w:b/>
          <w:bCs/>
          <w:sz w:val="22"/>
          <w:szCs w:val="22"/>
        </w:rPr>
      </w:pPr>
    </w:p>
    <w:sectPr w:rsidR="00974042" w:rsidRPr="00A832F7" w:rsidSect="00A832F7">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1D" w:rsidRDefault="00961F1D" w:rsidP="00974042">
      <w:r>
        <w:separator/>
      </w:r>
    </w:p>
  </w:endnote>
  <w:endnote w:type="continuationSeparator" w:id="0">
    <w:p w:rsidR="00961F1D" w:rsidRDefault="00961F1D" w:rsidP="00974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42" w:rsidRDefault="009F1A2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C5B8D">
      <w:rPr>
        <w:rFonts w:ascii="宋体" w:hAnsi="宋体"/>
        <w:sz w:val="28"/>
        <w:szCs w:val="28"/>
      </w:rPr>
      <w:fldChar w:fldCharType="begin"/>
    </w:r>
    <w:r>
      <w:rPr>
        <w:rFonts w:ascii="宋体" w:hAnsi="宋体"/>
        <w:sz w:val="28"/>
        <w:szCs w:val="28"/>
      </w:rPr>
      <w:instrText>PAGE   \* MERGEFORMAT</w:instrText>
    </w:r>
    <w:r w:rsidR="003C5B8D">
      <w:rPr>
        <w:rFonts w:ascii="宋体" w:hAnsi="宋体"/>
        <w:sz w:val="28"/>
        <w:szCs w:val="28"/>
      </w:rPr>
      <w:fldChar w:fldCharType="separate"/>
    </w:r>
    <w:r w:rsidR="00A832F7" w:rsidRPr="00A832F7">
      <w:rPr>
        <w:rFonts w:ascii="宋体" w:hAnsi="宋体"/>
        <w:noProof/>
        <w:sz w:val="28"/>
        <w:szCs w:val="28"/>
        <w:lang w:val="zh-CN"/>
      </w:rPr>
      <w:t>4</w:t>
    </w:r>
    <w:r w:rsidR="003C5B8D">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42" w:rsidRDefault="009F1A2E">
    <w:pPr>
      <w:pStyle w:val="a3"/>
      <w:wordWrap w:val="0"/>
      <w:jc w:val="right"/>
    </w:pPr>
    <w:r>
      <w:rPr>
        <w:rFonts w:ascii="宋体" w:hAnsi="宋体" w:hint="eastAsia"/>
        <w:sz w:val="28"/>
        <w:szCs w:val="28"/>
      </w:rPr>
      <w:t>－</w:t>
    </w:r>
    <w:r w:rsidR="003C5B8D">
      <w:rPr>
        <w:rFonts w:ascii="宋体" w:hAnsi="宋体"/>
        <w:sz w:val="28"/>
        <w:szCs w:val="28"/>
      </w:rPr>
      <w:fldChar w:fldCharType="begin"/>
    </w:r>
    <w:r>
      <w:rPr>
        <w:rFonts w:ascii="宋体" w:hAnsi="宋体"/>
        <w:sz w:val="28"/>
        <w:szCs w:val="28"/>
      </w:rPr>
      <w:instrText>PAGE   \* MERGEFORMAT</w:instrText>
    </w:r>
    <w:r w:rsidR="003C5B8D">
      <w:rPr>
        <w:rFonts w:ascii="宋体" w:hAnsi="宋体"/>
        <w:sz w:val="28"/>
        <w:szCs w:val="28"/>
      </w:rPr>
      <w:fldChar w:fldCharType="separate"/>
    </w:r>
    <w:r w:rsidR="004D05B2" w:rsidRPr="004D05B2">
      <w:rPr>
        <w:rFonts w:ascii="宋体" w:hAnsi="宋体"/>
        <w:noProof/>
        <w:sz w:val="28"/>
        <w:szCs w:val="28"/>
        <w:lang w:val="zh-CN"/>
      </w:rPr>
      <w:t>3</w:t>
    </w:r>
    <w:r w:rsidR="003C5B8D">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1D" w:rsidRDefault="00961F1D" w:rsidP="00974042">
      <w:r>
        <w:separator/>
      </w:r>
    </w:p>
  </w:footnote>
  <w:footnote w:type="continuationSeparator" w:id="0">
    <w:p w:rsidR="00961F1D" w:rsidRDefault="00961F1D" w:rsidP="00974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C5B8D"/>
    <w:rsid w:val="003F636B"/>
    <w:rsid w:val="0044207F"/>
    <w:rsid w:val="004D05B2"/>
    <w:rsid w:val="004D5710"/>
    <w:rsid w:val="004F542C"/>
    <w:rsid w:val="00550A4A"/>
    <w:rsid w:val="005667BC"/>
    <w:rsid w:val="005A4A7E"/>
    <w:rsid w:val="005C49EF"/>
    <w:rsid w:val="005F0A94"/>
    <w:rsid w:val="00610663"/>
    <w:rsid w:val="00616EB4"/>
    <w:rsid w:val="006A6786"/>
    <w:rsid w:val="006B2EDC"/>
    <w:rsid w:val="006D3381"/>
    <w:rsid w:val="006E600C"/>
    <w:rsid w:val="006F6D18"/>
    <w:rsid w:val="00785C4E"/>
    <w:rsid w:val="007A6644"/>
    <w:rsid w:val="008503CF"/>
    <w:rsid w:val="00867A37"/>
    <w:rsid w:val="0088648D"/>
    <w:rsid w:val="008A10A6"/>
    <w:rsid w:val="008D0DC5"/>
    <w:rsid w:val="00901B1C"/>
    <w:rsid w:val="00937399"/>
    <w:rsid w:val="00944875"/>
    <w:rsid w:val="00961F1D"/>
    <w:rsid w:val="00974042"/>
    <w:rsid w:val="009D4E62"/>
    <w:rsid w:val="009F1A2E"/>
    <w:rsid w:val="00A07177"/>
    <w:rsid w:val="00A832F7"/>
    <w:rsid w:val="00A87604"/>
    <w:rsid w:val="00AC0371"/>
    <w:rsid w:val="00AF2C07"/>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5E50"/>
    <w:rsid w:val="00F97604"/>
    <w:rsid w:val="00FA55A1"/>
    <w:rsid w:val="00FA7EE2"/>
    <w:rsid w:val="00FB08D1"/>
    <w:rsid w:val="00FD0030"/>
    <w:rsid w:val="05C90FF8"/>
    <w:rsid w:val="63B84B6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04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74042"/>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rsid w:val="00974042"/>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qFormat/>
    <w:rsid w:val="00974042"/>
    <w:rPr>
      <w:color w:val="954F72"/>
      <w:u w:val="single"/>
    </w:rPr>
  </w:style>
  <w:style w:type="character" w:styleId="a6">
    <w:name w:val="Hyperlink"/>
    <w:uiPriority w:val="99"/>
    <w:qFormat/>
    <w:rsid w:val="00974042"/>
    <w:rPr>
      <w:rFonts w:ascii="ˎ̥" w:hAnsi="ˎ̥" w:hint="default"/>
      <w:color w:val="0404B3"/>
      <w:sz w:val="18"/>
      <w:szCs w:val="18"/>
      <w:u w:val="none"/>
    </w:rPr>
  </w:style>
  <w:style w:type="character" w:customStyle="1" w:styleId="Char0">
    <w:name w:val="页眉 Char"/>
    <w:link w:val="a4"/>
    <w:uiPriority w:val="99"/>
    <w:qFormat/>
    <w:rsid w:val="00974042"/>
    <w:rPr>
      <w:sz w:val="18"/>
      <w:szCs w:val="18"/>
    </w:rPr>
  </w:style>
  <w:style w:type="character" w:customStyle="1" w:styleId="Char">
    <w:name w:val="页脚 Char"/>
    <w:link w:val="a3"/>
    <w:uiPriority w:val="99"/>
    <w:qFormat/>
    <w:rsid w:val="0097404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47BF5-B0F4-49E3-AB5C-7F3000F5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12</cp:revision>
  <dcterms:created xsi:type="dcterms:W3CDTF">2017-11-15T02:33:00Z</dcterms:created>
  <dcterms:modified xsi:type="dcterms:W3CDTF">2025-08-06T08:39:00Z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